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3C0" w:rsidRPr="006943C0" w:rsidRDefault="006943C0" w:rsidP="006943C0">
      <w:pPr>
        <w:jc w:val="center"/>
        <w:rPr>
          <w:b/>
          <w:sz w:val="24"/>
        </w:rPr>
      </w:pPr>
      <w:proofErr w:type="spellStart"/>
      <w:proofErr w:type="gramStart"/>
      <w:r w:rsidRPr="006943C0">
        <w:rPr>
          <w:b/>
          <w:sz w:val="24"/>
        </w:rPr>
        <w:t>ст</w:t>
      </w:r>
      <w:proofErr w:type="spellEnd"/>
      <w:proofErr w:type="gramEnd"/>
      <w:r w:rsidRPr="006943C0">
        <w:rPr>
          <w:b/>
          <w:sz w:val="24"/>
        </w:rPr>
        <w:t xml:space="preserve"> 180 ТК РФ. Гарантии и компенсации работникам при ликвидации организации, сокращении численности или штата работников организации</w:t>
      </w:r>
    </w:p>
    <w:p w:rsidR="00B30E20" w:rsidRDefault="006943C0" w:rsidP="006943C0">
      <w:r>
        <w:t>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(вакантную должность) в соответствии с частью третьей статьи 81 настоящего Кодекса. О предстоящем увольнении в связи с ликвидацией организации,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увольнения. Работодатель с письменного согласия работника имеет право расторгнуть с ним трудовой договор до истечения срока, указанного в части второй настоящей статьи, выплатив ему дополнительную компенсацию в размере среднего заработка работника, исчисленного пропорционально времени, оставшемуся до истечения срока предупреждения об увольнении. При угрозе массовых увольнений работодатель с учетом мнения выборного органа первичной профсоюзной организации принимает необходимые меры, предусмотренные настоящим Кодексом, иными федеральными законами, коллективным договором, соглашением.</w:t>
      </w:r>
    </w:p>
    <w:sectPr w:rsidR="00B3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43C0"/>
    <w:rsid w:val="006943C0"/>
    <w:rsid w:val="00B30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2011-03-15T19:41:00Z</dcterms:created>
  <dcterms:modified xsi:type="dcterms:W3CDTF">2011-03-15T19:41:00Z</dcterms:modified>
</cp:coreProperties>
</file>